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>
          <w:rFonts w:ascii="Arial" w:cs="Arial" w:eastAsia="Avenir-Light" w:hAnsi="Arial"/>
          <w:b w:val="false"/>
          <w:bCs w:val="false"/>
          <w:sz w:val="20"/>
          <w:szCs w:val="20"/>
        </w:rPr>
        <w:t>Pressetext für Tages- und Wochenzeitungen</w:t>
      </w:r>
    </w:p>
    <w:p>
      <w:pPr>
        <w:pStyle w:val="style0"/>
        <w:pBdr>
          <w:bottom w:color="000001" w:space="0" w:sz="8" w:val="single"/>
        </w:pBdr>
        <w:spacing w:line="360" w:lineRule="auto"/>
      </w:pPr>
      <w:r>
        <w:rPr>
          <w:rFonts w:ascii="Arial" w:cs="Arial" w:eastAsia="Avenir-Light" w:hAnsi="Arial"/>
          <w:b w:val="false"/>
          <w:bCs w:val="false"/>
          <w:sz w:val="20"/>
          <w:szCs w:val="20"/>
        </w:rPr>
        <w:t>Minimalform: 490 Zeichen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cs="Arial" w:eastAsia="Avenir-Light" w:hAnsi="Arial"/>
          <w:b/>
          <w:bCs/>
          <w:sz w:val="20"/>
          <w:szCs w:val="20"/>
        </w:rPr>
        <w:t xml:space="preserve">Umdenken und länger leben. Neuartige Studien stellen das aktuelle Gesundheitssystem infrage. 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cs="Arial" w:eastAsia="Avenir-Light" w:hAnsi="Arial"/>
          <w:b w:val="false"/>
          <w:bCs w:val="false"/>
          <w:sz w:val="21"/>
          <w:szCs w:val="21"/>
        </w:rPr>
        <w:t xml:space="preserve">Aktuelle Studien der </w:t>
      </w:r>
      <w:r>
        <w:rPr>
          <w:rFonts w:ascii="Arial" w:cs="Avenir-Light" w:eastAsia="Avenir-Light" w:hAnsi="Arial"/>
          <w:b w:val="false"/>
          <w:bCs w:val="false"/>
          <w:sz w:val="21"/>
          <w:szCs w:val="21"/>
        </w:rPr>
        <w:t>Paracelsus Medizinischen Universität (</w:t>
      </w:r>
      <w:r>
        <w:rPr>
          <w:rFonts w:ascii="Arial" w:cs="Arial" w:eastAsia="Avenir-Light" w:hAnsi="Arial"/>
          <w:b w:val="false"/>
          <w:bCs w:val="false"/>
          <w:sz w:val="21"/>
          <w:szCs w:val="21"/>
        </w:rPr>
        <w:t>PMU) Salzburg belegen, dass es wesentlich günstiger ist, dafür zu sorgen, dass Menschen erst gar nicht erkranken. Die Kooperation „Lifetime Hotels“ nimmt die Kenntnisse der Forschung als Basis für neuartige Gesundheits-Urlaube, die das Leben nachweislich verlängern und den Paradigmenwechsel „vorsorgen statt heilen“ gezielt vorantreiben.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LibreOffice_project/3215f89-f603614-ab984f2-7348103-1225a5b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2013-06-16T17:15:21.04Z</dcterms:created>
  <dcterms:modified xsi:type="dcterms:W3CDTF">2013-06-16T17:16:02.69Z</dcterms:modified>
  <cp:revision>1</cp:revision>
</cp:coreProperties>
</file>